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</w:rPr>
        <w:t xml:space="preserve">В Корпорации МСП рассказали, как малому и среднему бизнесу получить льготный кредит при отсутствии залога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Компании малого и среднего бизнеса при нехватке или отсутствии залога для получения льготного кредитования могут получить поручительство Корпорации МСП или региональных гарантийных организаций (РГО). Поручительства и гарантии выдаются по всем льготным программам кредитования, которые действуют в настоящее время. Это «ПСК Инвестиционная», «Программа 1764» и «ПСК Оборотная». Поручительства и гарантии Корпорации покрывают до 50% от суммы кредита.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Также предприниматели Саратовской области могут получить поручительство региональной гарантийной организации Акционерного общества «Гарантийный фонд для субъектов малого предпринимательства Саратовской области» (АО «Фонд») в размере не более 50% от суммы кредита. Максимальный объем поручительства составляет 25 млн. рублей. При предоставлении совместной гарантии с Корпорацией МСП объем гарантийного обеспечения увеличивается до 75% суммы кредита или 90% суммы кредита, предоставленного начинающему предпринимателю.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В рамках реализации уставных задач АО «Фонд» работает с 18 финансовыми организациями, среди которых банки, лизинговые организации, Фондом микрокредитования Саратовской области, ФРП СО, ФРП РФ.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рамка </w:t>
      </w:r>
      <w:r>
        <w:rPr>
          <w:rStyle w:val="Style13"/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«зонтичного» механизма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поручительств Корпорация МСП покрывает до 50% от суммы кредита. Размер поручительства по кредиту (или нескольким кредитам) на одного предпринимателя может достигать 1 млрд рублей и выдаваться на срок до 180 месяцев. Данный вид поручительства предоставляется «бесшовно» при обращении за кредитом в один в десяти </w:t>
      </w: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банков-партнеров</w:t>
        </w:r>
      </w:hyperlink>
      <w:r>
        <w:rPr>
          <w:rStyle w:val="Style13"/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Style w:val="Style13"/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Независимые гарантии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Корпорации МСП покрывают до 50% от суммы кредита. Получить гарантию можно после одобрения кредита в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банке-партнере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Для увеличения покрытия в дополнение к независимой гарантии Корпорации МСП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предприниматель может получить поручительство РГО. Суммарно они могут обеспечить до 75% от суммы кредита.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«Правительством, Минэкономразвития и Центробанком приняты новые антикризисные программы кредитования, ставки ним: до 13,5% – для среднего бизнеса, до 15% – для малых предприятий. По всем этим программам бизнес может получить финансирование под наше поручительство, то есть Корпорация берет на себя риски, чтобы банки активнее кредитовали и не отказывали бизнесу. Что важно, по всем случаям отказов мы через наш «Сервис 360°» принимаем обращения и разбираемся. Наша задача – оказать бизнесу всестороннюю поддержку, чтобы предприниматели могли сохранить свое дело и коллективы», – заявил генеральный директор Корпорации МСП Александр Исаевич.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ru-RU"/>
        </w:rPr>
        <w:t>Корпорация МСП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— институт развития малого и среднего предпринимательства. Она предоставляет гарантии и поручительства для кредитования бизнеса, обеспечивает доступ к закупкам крупнейших заказчиков и помогает попасть на полки ритейлеров. Корпорация является также федеральным институтом инновационного развития, предоставляет поддержку высокотехнологичным инновационным субъектам МСП. Корпорация МСП оказывает также финансовую поддержку через МСП Банк и краудинвестинговые платформы, проводит обучение предпринимательским компетенциям и реализует программы по акселерации бизнеса. Через УК «МИР» финансирует компании на стадии роста и развития. При помощи дочерних региональных лизинговых компаний оказывает льготную лизинговую поддержку.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142" w:top="568" w:footer="130" w:bottom="993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160"/>
      <w:jc w:val="right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Times New Roman" w:hAnsi="Times New Roman" w:cs="Times New Roman"/>
        <w:color w:val="000000"/>
        <w:sz w:val="24"/>
        <w:szCs w:val="24"/>
      </w:rPr>
    </w:pPr>
    <w:r>
      <w:rPr>
        <w:rFonts w:cs="Times New Roman" w:ascii="Times New Roman" w:hAnsi="Times New Roman"/>
        <w:color w:val="000000"/>
        <w:sz w:val="24"/>
        <w:szCs w:val="24"/>
      </w:rPr>
    </w:r>
  </w:p>
  <w:tbl>
    <w:tblPr>
      <w:tblStyle w:val="StGen0"/>
      <w:tblW w:w="9355" w:type="dxa"/>
      <w:jc w:val="left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  <w:tblLook w:lastRow="0" w:firstRow="0" w:lastColumn="0" w:firstColumn="0" w:val="0400" w:noHBand="0" w:noVBand="1"/>
    </w:tblPr>
    <w:tblGrid>
      <w:gridCol w:w="4712"/>
      <w:gridCol w:w="4642"/>
    </w:tblGrid>
    <w:tr>
      <w:trPr>
        <w:trHeight w:val="1441" w:hRule="atLeast"/>
      </w:trPr>
      <w:tc>
        <w:tcPr>
          <w:tcW w:w="4712" w:type="dxa"/>
          <w:tcBorders/>
        </w:tcPr>
        <w:p>
          <w:pPr>
            <w:pStyle w:val="Normal"/>
            <w:widowControl/>
            <w:tabs>
              <w:tab w:val="clear" w:pos="708"/>
              <w:tab w:val="center" w:pos="4677" w:leader="none"/>
              <w:tab w:val="center" w:pos="5387" w:leader="none"/>
              <w:tab w:val="right" w:pos="9355" w:leader="none"/>
            </w:tabs>
            <w:spacing w:lineRule="auto" w:line="240" w:before="0" w:after="0"/>
            <w:jc w:val="left"/>
            <w:rPr>
              <w:color w:val="000000"/>
            </w:rPr>
          </w:pPr>
          <w:r>
            <w:rPr>
              <w:rFonts w:eastAsia="Times New Roman" w:cs="Calibri"/>
              <w:kern w:val="0"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2" wp14:anchorId="37F3ECB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635635" cy="635635"/>
                    <wp:effectExtent l="0" t="0" r="0" b="0"/>
                    <wp:wrapNone/>
                    <wp:docPr id="1" name="Прямоугольник 1" hidden="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5040" cy="635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Прямоугольник 1" fillcolor="white" stroked="t" style="position:absolute;margin-left:0pt;margin-top:0pt;width:49.95pt;height:49.95pt;mso-wrap-style:none;v-text-anchor:middle" wp14:anchorId="37F3ECB7">
                    <v:fill o:detectmouseclick="t" type="solid" color2="black"/>
                    <v:stroke color="black" weight="9360" joinstyle="round" endcap="flat"/>
                    <w10:wrap type="none"/>
                  </v:rect>
                </w:pict>
              </mc:Fallback>
            </mc:AlternateContent>
            <w:object>
              <v:shape id="ole_rId1" style="width:112.5pt;height:60.75pt" o:ole="">
                <v:imagedata r:id="rId2" o:title=""/>
              </v:shape>
              <o:OLEObject Type="Embed" ProgID="PBrush" ShapeID="ole_rId1" DrawAspect="Content" ObjectID="_269664295" r:id="rId1"/>
            </w:object>
          </w:r>
        </w:p>
      </w:tc>
      <w:tc>
        <w:tcPr>
          <w:tcW w:w="4642" w:type="dxa"/>
          <w:tcBorders/>
        </w:tcPr>
        <w:p>
          <w:pPr>
            <w:pStyle w:val="Normal"/>
            <w:widowControl/>
            <w:tabs>
              <w:tab w:val="clear" w:pos="708"/>
              <w:tab w:val="center" w:pos="4677" w:leader="none"/>
              <w:tab w:val="center" w:pos="5387" w:leader="none"/>
              <w:tab w:val="right" w:pos="9355" w:leader="none"/>
            </w:tabs>
            <w:spacing w:lineRule="auto" w:line="240" w:before="0" w:after="0"/>
            <w:jc w:val="left"/>
            <w:rPr>
              <w:color w:val="000000"/>
            </w:rPr>
          </w:pPr>
          <w:r>
            <w:rPr>
              <w:rFonts w:eastAsia="Times New Roman" w:cs="Calibri"/>
              <w:color w:val="000000"/>
              <w:kern w:val="0"/>
              <w:sz w:val="20"/>
              <w:szCs w:val="20"/>
              <w:lang w:val="ru-RU" w:eastAsia="ru-RU" w:bidi="ar-SA"/>
            </w:rPr>
          </w:r>
        </w:p>
      </w:tc>
    </w:tr>
  </w:tbl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160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d164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mpedfont20" w:customStyle="1">
    <w:name w:val="bumpedfont20"/>
    <w:basedOn w:val="DefaultParagraphFont"/>
    <w:qFormat/>
    <w:rsid w:val="00437078"/>
    <w:rPr>
      <w:rFonts w:ascii="Times New Roman" w:hAnsi="Times New Roman" w:cs="Times New Roman"/>
    </w:rPr>
  </w:style>
  <w:style w:type="character" w:styleId="Whitespacenormal" w:customStyle="1">
    <w:name w:val="white-space-normal"/>
    <w:basedOn w:val="DefaultParagraphFont"/>
    <w:qFormat/>
    <w:rsid w:val="005212d7"/>
    <w:rPr/>
  </w:style>
  <w:style w:type="character" w:styleId="Style13">
    <w:name w:val="Интернет-ссылка"/>
    <w:basedOn w:val="DefaultParagraphFont"/>
    <w:uiPriority w:val="99"/>
    <w:unhideWhenUsed/>
    <w:rsid w:val="005212d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f3b40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d164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66cf4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610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a"/>
    <w:uiPriority w:val="99"/>
    <w:semiHidden/>
    <w:qFormat/>
    <w:rsid w:val="00316107"/>
    <w:rPr>
      <w:sz w:val="20"/>
      <w:szCs w:val="20"/>
    </w:rPr>
  </w:style>
  <w:style w:type="character" w:styleId="Style17" w:customStyle="1">
    <w:name w:val="Тема примечания Знак"/>
    <w:basedOn w:val="Style16"/>
    <w:link w:val="ac"/>
    <w:uiPriority w:val="99"/>
    <w:semiHidden/>
    <w:qFormat/>
    <w:rsid w:val="00316107"/>
    <w:rPr>
      <w:b/>
      <w:bCs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Wordsection1" w:customStyle="1">
    <w:name w:val="wordsection1"/>
    <w:basedOn w:val="Normal"/>
    <w:uiPriority w:val="99"/>
    <w:qFormat/>
    <w:rsid w:val="004370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f3b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f4a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3132a"/>
    <w:pPr>
      <w:spacing w:lineRule="auto" w:line="240" w:before="0" w:after="0"/>
      <w:ind w:left="720" w:hanging="0"/>
    </w:pPr>
    <w:rPr>
      <w:rFonts w:ascii="Calibri" w:hAnsi="Calibri" w:cs="Times New Roman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3161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316107"/>
    <w:pPr/>
    <w:rPr>
      <w:b/>
      <w:bCs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">
    <w:name w:val="StGen0"/>
    <w:basedOn w:val="a1"/>
    <w:rsid w:val="00437078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rpmsp.ru/finansovaya-podderzhka/zontichnyy-mekhanizm-predostavleniya-poruchitelstv/" TargetMode="External"/><Relationship Id="rId3" Type="http://schemas.openxmlformats.org/officeDocument/2006/relationships/hyperlink" Target="https://corpmsp.ru/finansovaya-podderzhka/garantiynaya-podderzhka-subektov-msp-ngs/nezavisimye-garantii-korporatsii-msp/list_banki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1094-425A-48C7-A355-4AF3D7A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1</Pages>
  <Words>413</Words>
  <Characters>2915</Characters>
  <CharactersWithSpaces>3328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2022-03-18T10:07:00Z</dcterms:created>
  <dc:creator>Неровня Татьяна Юрьевна</dc:creator>
  <dc:description/>
  <dc:language>ru-RU</dc:language>
  <cp:lastModifiedBy/>
  <cp:lastPrinted>2021-12-24T17:51:00Z</cp:lastPrinted>
  <dcterms:modified xsi:type="dcterms:W3CDTF">2022-03-21T14:10:02Z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