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png" ContentType="image/png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ConsPlusNormal"/>
        <w:numPr>
          <w:ilvl w:val="0"/>
          <w:numId w:val="0"/>
        </w:numPr>
        <w:ind w:left="0" w:firstLine="709"/>
        <w:jc w:val="center"/>
        <w:outlineLvl w:val="0"/>
        <w:rPr>
          <w:sz w:val="30"/>
          <w:szCs w:val="30"/>
        </w:rPr>
      </w:pPr>
      <w:r>
        <w:rPr>
          <w:b/>
          <w:bCs/>
          <w:sz w:val="30"/>
          <w:szCs w:val="30"/>
        </w:rPr>
        <w:t xml:space="preserve">1 марта вступили в силу изменения в ПДД РФ о средствах индивидуальной мобильности, так называемые «СИМ» </w:t>
      </w:r>
    </w:p>
    <w:p>
      <w:pPr>
        <w:pStyle w:val="ConsPlusNormal"/>
        <w:numPr>
          <w:ilvl w:val="0"/>
          <w:numId w:val="0"/>
        </w:numPr>
        <w:ind w:left="0" w:firstLine="709"/>
        <w:jc w:val="center"/>
        <w:outlineLvl w:val="0"/>
        <w:rPr>
          <w:sz w:val="28"/>
          <w:szCs w:val="28"/>
        </w:rPr>
      </w:pPr>
      <w:r>
        <w:rPr>
          <w:b/>
          <w:bCs/>
          <w:sz w:val="28"/>
          <w:szCs w:val="28"/>
        </w:rPr>
        <w:t>Понятие средств индивидуальной мобильности</w:t>
      </w:r>
    </w:p>
    <w:p>
      <w:pPr>
        <w:pStyle w:val="ConsPlusNormal"/>
        <w:spacing w:before="0" w:after="0"/>
        <w:ind w:firstLine="709"/>
        <w:contextualSpacing/>
        <w:jc w:val="both"/>
        <w:rPr/>
      </w:pPr>
      <w:r>
        <w:rPr/>
        <w:t>Под средством индивидуальной мобильности понимается транспортное средство (не механическое), имеющее одно или несколько колес (роликов), предназначенное для индивидуального передвижения человека посредством использования двигателя (двигателей) (электросамокаты, электроскейтборды, гироскутеры, сигвеи, моноколеса и иные аналогичные средства) (п. 1.2 ПДД).</w:t>
      </w:r>
    </w:p>
    <w:p>
      <w:pPr>
        <w:pStyle w:val="ConsPlusNormal"/>
        <w:numPr>
          <w:ilvl w:val="0"/>
          <w:numId w:val="0"/>
        </w:numPr>
        <w:spacing w:before="0" w:after="0"/>
        <w:ind w:left="0" w:firstLine="709"/>
        <w:contextualSpacing/>
        <w:jc w:val="both"/>
        <w:outlineLvl w:val="0"/>
        <w:rPr>
          <w:sz w:val="34"/>
          <w:szCs w:val="34"/>
        </w:rPr>
      </w:pPr>
      <w:r>
        <w:rPr>
          <w:sz w:val="34"/>
          <w:szCs w:val="34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841375</wp:posOffset>
            </wp:positionH>
            <wp:positionV relativeFrom="paragraph">
              <wp:posOffset>24765</wp:posOffset>
            </wp:positionV>
            <wp:extent cx="4953635" cy="365823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0" r="0" b="15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3658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onsPlusNormal"/>
        <w:numPr>
          <w:ilvl w:val="0"/>
          <w:numId w:val="0"/>
        </w:numPr>
        <w:ind w:left="0" w:firstLine="709"/>
        <w:jc w:val="center"/>
        <w:outlineLvl w:val="0"/>
        <w:rPr>
          <w:sz w:val="34"/>
          <w:szCs w:val="34"/>
        </w:rPr>
      </w:pPr>
      <w:r>
        <w:rPr>
          <w:sz w:val="34"/>
          <w:szCs w:val="34"/>
        </w:rPr>
      </w:r>
    </w:p>
    <w:p>
      <w:pPr>
        <w:pStyle w:val="ConsPlusNormal"/>
        <w:numPr>
          <w:ilvl w:val="0"/>
          <w:numId w:val="0"/>
        </w:numPr>
        <w:ind w:left="0" w:firstLine="709"/>
        <w:jc w:val="center"/>
        <w:outlineLvl w:val="0"/>
        <w:rPr>
          <w:sz w:val="34"/>
          <w:szCs w:val="34"/>
        </w:rPr>
      </w:pPr>
      <w:r>
        <w:rPr>
          <w:sz w:val="34"/>
          <w:szCs w:val="34"/>
        </w:rPr>
      </w:r>
    </w:p>
    <w:p>
      <w:pPr>
        <w:pStyle w:val="ConsPlusNormal"/>
        <w:numPr>
          <w:ilvl w:val="0"/>
          <w:numId w:val="0"/>
        </w:numPr>
        <w:ind w:left="0" w:firstLine="709"/>
        <w:jc w:val="center"/>
        <w:outlineLvl w:val="0"/>
        <w:rPr>
          <w:sz w:val="34"/>
          <w:szCs w:val="34"/>
        </w:rPr>
      </w:pPr>
      <w:r>
        <w:rPr>
          <w:sz w:val="34"/>
          <w:szCs w:val="34"/>
        </w:rPr>
      </w:r>
    </w:p>
    <w:p>
      <w:pPr>
        <w:pStyle w:val="ConsPlusNormal"/>
        <w:numPr>
          <w:ilvl w:val="0"/>
          <w:numId w:val="0"/>
        </w:numPr>
        <w:ind w:left="0" w:firstLine="709"/>
        <w:jc w:val="center"/>
        <w:outlineLvl w:val="0"/>
        <w:rPr>
          <w:sz w:val="34"/>
          <w:szCs w:val="34"/>
        </w:rPr>
      </w:pPr>
      <w:r>
        <w:rPr>
          <w:sz w:val="34"/>
          <w:szCs w:val="34"/>
        </w:rPr>
      </w:r>
    </w:p>
    <w:p>
      <w:pPr>
        <w:pStyle w:val="ConsPlusNormal"/>
        <w:numPr>
          <w:ilvl w:val="0"/>
          <w:numId w:val="0"/>
        </w:numPr>
        <w:ind w:left="0" w:firstLine="709"/>
        <w:jc w:val="center"/>
        <w:outlineLvl w:val="0"/>
        <w:rPr>
          <w:sz w:val="28"/>
          <w:szCs w:val="28"/>
        </w:rPr>
      </w:pPr>
      <w:r>
        <w:rPr>
          <w:b/>
          <w:bCs/>
          <w:sz w:val="28"/>
          <w:szCs w:val="28"/>
        </w:rPr>
        <w:t>Правила передвижения на электросамокатах и других средствах индивидуальной мобильности</w:t>
      </w:r>
    </w:p>
    <w:p>
      <w:pPr>
        <w:pStyle w:val="ConsPlusNormal"/>
        <w:spacing w:before="0" w:after="0"/>
        <w:ind w:firstLine="709"/>
        <w:contextualSpacing/>
        <w:jc w:val="both"/>
        <w:rPr/>
      </w:pPr>
      <w:r>
        <w:rPr>
          <w:b/>
          <w:bCs/>
        </w:rPr>
        <w:t xml:space="preserve">Дети младше семи лет </w:t>
      </w:r>
      <w:r>
        <w:rPr/>
        <w:t xml:space="preserve">могут передвигаться на средстве индивидуальной мобильности только в сопровождении взрослых и только по тротуарам, пешеходным, велосипедным </w:t>
        <w:br/>
        <w:t>и велопешеходным дорожкам (на стороне для движения пешеходов), а также в пределах пешеходных зон (п. 24.4 ПДД).</w:t>
      </w:r>
    </w:p>
    <w:p>
      <w:pPr>
        <w:pStyle w:val="ConsPlusNormal"/>
        <w:spacing w:before="0" w:after="0"/>
        <w:ind w:firstLine="709"/>
        <w:contextualSpacing/>
        <w:jc w:val="both"/>
        <w:rPr/>
      </w:pPr>
      <w:r>
        <w:rPr>
          <w:b/>
          <w:bCs/>
        </w:rPr>
        <w:t>Лица в возрасте от семи до 14 лет</w:t>
      </w:r>
      <w:r>
        <w:rPr/>
        <w:t xml:space="preserve"> могут передвигаться на средстве индивидуальной мобильности только по тротуарам, пешеходным, велосипедным и велопешеходным дорожкам, </w:t>
        <w:br/>
        <w:t>а также в пределах пешеходных зон (п. 24.3 ПДД).</w:t>
      </w:r>
    </w:p>
    <w:p>
      <w:pPr>
        <w:pStyle w:val="ConsPlusNormal"/>
        <w:spacing w:before="0" w:after="0"/>
        <w:ind w:firstLine="709"/>
        <w:contextualSpacing/>
        <w:jc w:val="both"/>
        <w:rPr/>
      </w:pPr>
      <w:r>
        <w:rPr>
          <w:b/>
          <w:bCs/>
        </w:rPr>
        <w:t xml:space="preserve">Лица старше 14 лет </w:t>
      </w:r>
      <w:r>
        <w:rPr/>
        <w:t>могут передвигаться на средстве индивидуальной мобильности по велосипедной, велопешеходной дорожкам, проезжей части велосипедной зоны или полосе для велосипедистов (п. 24.1 ПДД).</w:t>
      </w:r>
    </w:p>
    <w:p>
      <w:pPr>
        <w:pStyle w:val="ConsPlusNormal"/>
        <w:spacing w:before="0" w:after="0"/>
        <w:ind w:firstLine="709"/>
        <w:contextualSpacing/>
        <w:jc w:val="both"/>
        <w:rPr/>
      </w:pPr>
      <w:r>
        <w:rPr/>
        <w:t xml:space="preserve">Допускается движение лиц старше 14 лет на средстве индивидуальной мобильности </w:t>
        <w:br/>
        <w:t>(п. 24.2(1) ПДД):</w:t>
      </w:r>
    </w:p>
    <w:p>
      <w:pPr>
        <w:pStyle w:val="ConsPlusNormal"/>
        <w:numPr>
          <w:ilvl w:val="0"/>
          <w:numId w:val="2"/>
        </w:numPr>
        <w:tabs>
          <w:tab w:val="clear" w:pos="708"/>
          <w:tab w:val="left" w:pos="540" w:leader="none"/>
        </w:tabs>
        <w:spacing w:before="0" w:after="0"/>
        <w:ind w:left="0" w:firstLine="709"/>
        <w:contextualSpacing/>
        <w:jc w:val="both"/>
        <w:rPr/>
      </w:pPr>
      <w:r>
        <w:rPr/>
        <w:t>в пешеходной зоне - если масса средства индивидуальной мобильности, в том числе электросамоката, не превышает 35 кг;</w:t>
      </w:r>
    </w:p>
    <w:p>
      <w:pPr>
        <w:pStyle w:val="ConsPlusNormal"/>
        <w:numPr>
          <w:ilvl w:val="0"/>
          <w:numId w:val="2"/>
        </w:numPr>
        <w:tabs>
          <w:tab w:val="clear" w:pos="708"/>
          <w:tab w:val="left" w:pos="540" w:leader="none"/>
        </w:tabs>
        <w:spacing w:before="0" w:after="0"/>
        <w:ind w:left="0" w:firstLine="709"/>
        <w:contextualSpacing/>
        <w:jc w:val="both"/>
        <w:rPr/>
      </w:pPr>
      <w:r>
        <w:rPr/>
        <w:t>по тротуару, пешеходной дорожке - если масса средства индивидуальной мобильности не превышает 35 кг и при соблюдении одного из следующих условий:</w:t>
      </w:r>
    </w:p>
    <w:p>
      <w:pPr>
        <w:pStyle w:val="ConsPlusNormal"/>
        <w:numPr>
          <w:ilvl w:val="1"/>
          <w:numId w:val="2"/>
        </w:numPr>
        <w:tabs>
          <w:tab w:val="clear" w:pos="708"/>
          <w:tab w:val="left" w:pos="1080" w:leader="none"/>
        </w:tabs>
        <w:spacing w:before="0" w:after="0"/>
        <w:ind w:left="0" w:firstLine="709"/>
        <w:contextualSpacing/>
        <w:jc w:val="both"/>
        <w:rPr/>
      </w:pPr>
      <w:r>
        <w:rPr/>
        <w:t>отсутствуют велосипедная и велопешеходная дорожки, полоса для велосипедистов либо отсутствует возможность двигаться по ним;</w:t>
      </w:r>
    </w:p>
    <w:p>
      <w:pPr>
        <w:pStyle w:val="ConsPlusNormal"/>
        <w:numPr>
          <w:ilvl w:val="1"/>
          <w:numId w:val="1"/>
        </w:numPr>
        <w:tabs>
          <w:tab w:val="clear" w:pos="708"/>
          <w:tab w:val="left" w:pos="1080" w:leader="none"/>
        </w:tabs>
        <w:spacing w:before="0" w:after="0"/>
        <w:ind w:left="0" w:firstLine="709"/>
        <w:contextualSpacing/>
        <w:jc w:val="both"/>
        <w:rPr/>
      </w:pPr>
      <w:r>
        <w:rPr/>
        <w:t>лицо, использующее для передвижения средство индивидуальной мобильности, сопровождает ребенка в возрасте до 14 лет, использующего для передвижения средство индивидуальной мобильности, или велосипедиста в возрасте до 14 лет;</w:t>
      </w:r>
    </w:p>
    <w:p>
      <w:pPr>
        <w:pStyle w:val="ConsPlusNormal"/>
        <w:numPr>
          <w:ilvl w:val="0"/>
          <w:numId w:val="1"/>
        </w:numPr>
        <w:tabs>
          <w:tab w:val="clear" w:pos="708"/>
          <w:tab w:val="left" w:pos="540" w:leader="none"/>
        </w:tabs>
        <w:spacing w:before="0" w:after="0"/>
        <w:ind w:left="0" w:firstLine="709"/>
        <w:contextualSpacing/>
        <w:jc w:val="both"/>
        <w:rPr/>
      </w:pPr>
      <w:r>
        <w:rPr/>
        <w:t>по обочине - если отсутствуют велосипедная и велопешеходная дорожки, полоса для велосипедистов, тротуар, пешеходная дорожка либо отсутствует возможность двигаться по ним;</w:t>
      </w:r>
    </w:p>
    <w:p>
      <w:pPr>
        <w:pStyle w:val="ConsPlusNormal"/>
        <w:numPr>
          <w:ilvl w:val="0"/>
          <w:numId w:val="1"/>
        </w:numPr>
        <w:tabs>
          <w:tab w:val="clear" w:pos="708"/>
          <w:tab w:val="left" w:pos="540" w:leader="none"/>
        </w:tabs>
        <w:spacing w:before="0" w:after="0"/>
        <w:ind w:left="0" w:firstLine="709"/>
        <w:contextualSpacing/>
        <w:jc w:val="both"/>
        <w:rPr/>
      </w:pPr>
      <w:r>
        <w:rPr/>
        <w:t>по правому краю проезжей части дороги при соблюдении одновременно следующих условий:</w:t>
      </w:r>
    </w:p>
    <w:p>
      <w:pPr>
        <w:pStyle w:val="ConsPlusNormal"/>
        <w:numPr>
          <w:ilvl w:val="1"/>
          <w:numId w:val="1"/>
        </w:numPr>
        <w:tabs>
          <w:tab w:val="clear" w:pos="708"/>
          <w:tab w:val="left" w:pos="1080" w:leader="none"/>
        </w:tabs>
        <w:spacing w:before="0" w:after="0"/>
        <w:ind w:left="0" w:firstLine="709"/>
        <w:contextualSpacing/>
        <w:jc w:val="both"/>
        <w:rPr/>
      </w:pPr>
      <w:r>
        <w:rPr/>
        <w:t>отсутствуют велосипедная и велопешеходная дорожки, полоса для велосипедистов, тротуар, пешеходная дорожка, обочина либо отсутствует возможность двигаться по ним;</w:t>
      </w:r>
    </w:p>
    <w:p>
      <w:pPr>
        <w:pStyle w:val="ConsPlusNormal"/>
        <w:numPr>
          <w:ilvl w:val="1"/>
          <w:numId w:val="1"/>
        </w:numPr>
        <w:tabs>
          <w:tab w:val="clear" w:pos="708"/>
          <w:tab w:val="left" w:pos="1080" w:leader="none"/>
        </w:tabs>
        <w:spacing w:before="0" w:after="0"/>
        <w:ind w:left="0" w:firstLine="709"/>
        <w:contextualSpacing/>
        <w:jc w:val="both"/>
        <w:rPr/>
      </w:pPr>
      <w:r>
        <w:rPr/>
        <w:t xml:space="preserve">на дороге разрешено движение транспортных средств со скоростью не более 60 км/ч, </w:t>
        <w:br/>
        <w:t>а также движение велосипедов;</w:t>
      </w:r>
    </w:p>
    <w:p>
      <w:pPr>
        <w:pStyle w:val="ConsPlusNormal"/>
        <w:numPr>
          <w:ilvl w:val="1"/>
          <w:numId w:val="1"/>
        </w:numPr>
        <w:tabs>
          <w:tab w:val="clear" w:pos="708"/>
          <w:tab w:val="left" w:pos="1080" w:leader="none"/>
        </w:tabs>
        <w:spacing w:before="0" w:after="0"/>
        <w:ind w:left="0" w:firstLine="709"/>
        <w:contextualSpacing/>
        <w:jc w:val="both"/>
        <w:rPr/>
      </w:pPr>
      <w:r>
        <w:rPr/>
        <w:t>средство индивидуальной мобильности оборудовано тормозной системой, звуковым сигналом, световозвращателями белого цвета спереди, оранжевого или красного цвета с боковых сторон, красного цвета сзади, фарой (фонарем) белого цвета спереди.</w:t>
      </w:r>
    </w:p>
    <w:p>
      <w:pPr>
        <w:pStyle w:val="ConsPlusNormal"/>
        <w:spacing w:before="0" w:after="0"/>
        <w:ind w:firstLine="709"/>
        <w:contextualSpacing/>
        <w:jc w:val="both"/>
        <w:rPr/>
      </w:pPr>
      <w:r>
        <w:rPr/>
        <w:t xml:space="preserve">При наличии светофора при движении по тротуару или пешеходной дорожке лица, использующие для передвижения средства индивидуальной мобильности, должны руководствоваться сигналами светофора в виде силуэта пешехода, а при движении </w:t>
        <w:br/>
        <w:t xml:space="preserve">по велосипедной, велопешеходной дорожкам, полосе для велосипедистов - сигналами светофора </w:t>
        <w:br/>
        <w:t xml:space="preserve">в виде велосипеда (п. 6.5 ПДД). Кроме этого, не забывайте, что и велосипедист и лицо, управляющее средством индивидуальной мобильности, должны спешиться и перевести свое транспортное средство при переходе проезжей части по пешеходному переходу. </w:t>
      </w:r>
    </w:p>
    <w:p>
      <w:pPr>
        <w:pStyle w:val="ConsPlusNormal"/>
        <w:spacing w:before="0" w:after="0"/>
        <w:ind w:firstLine="709"/>
        <w:contextualSpacing/>
        <w:jc w:val="both"/>
        <w:rPr/>
      </w:pPr>
      <w:r>
        <w:rPr/>
        <w:t>Движение лиц, использующих для передвижения средства индивидуальной мобильности, по правому краю проезжей части (в случаях, когда это разрешено) должно осуществляться только в один ряд. При этом им запрещаются обгон или объезд с левой стороны транспортного средства (п. 24.5 ПДД).</w:t>
      </w:r>
    </w:p>
    <w:p>
      <w:pPr>
        <w:pStyle w:val="ConsPlusNormal"/>
        <w:spacing w:before="0" w:after="0"/>
        <w:ind w:firstLine="709"/>
        <w:contextualSpacing/>
        <w:jc w:val="both"/>
        <w:rPr/>
      </w:pPr>
      <w:r>
        <w:rPr/>
        <w:t xml:space="preserve">Движение на средстве индивидуальной мобильности разрешается со скоростью не более </w:t>
        <w:br/>
        <w:t>25 км/ч.</w:t>
      </w:r>
    </w:p>
    <w:p>
      <w:pPr>
        <w:pStyle w:val="ConsPlusNormal"/>
        <w:spacing w:before="0" w:after="0"/>
        <w:ind w:firstLine="709"/>
        <w:contextualSpacing/>
        <w:jc w:val="both"/>
        <w:rPr/>
      </w:pPr>
      <w:r>
        <w:rPr/>
        <w:t xml:space="preserve">Если движение лица, использующего для передвижения средство индивидуальной мобильности, по тротуару, пешеходной дорожке, обочине или в пределах пешеходных зон (включая велосипедные дорожки, находящиеся в пешеходных зонах) подвергает опасности или создает помехи для движения пешеходов, такое лицо должно спешиться или снизить скорость </w:t>
        <w:br/>
        <w:t xml:space="preserve">до скорости, не превышающей скорость движения пешеходов. Во всех случаях совмещенного </w:t>
        <w:br/>
        <w:t>с пешеходами движения лиц, использующих для передвижения средства индивидуальной мобильности, пешеходы имеют приоритет (п. 24.6 ПДД).</w:t>
      </w:r>
    </w:p>
    <w:p>
      <w:pPr>
        <w:pStyle w:val="ConsPlusNormal"/>
        <w:spacing w:before="0" w:after="0"/>
        <w:ind w:firstLine="709"/>
        <w:contextualSpacing/>
        <w:jc w:val="both"/>
        <w:rPr/>
      </w:pPr>
      <w:r>
        <w:rPr/>
        <w:t>При выезде из жилой зоны лица, использующие для передвижения средства индивидуальной мобильности, должны уступить дорогу другим участникам дорожного движения (п. 17.3 ПДД).</w:t>
      </w:r>
    </w:p>
    <w:p>
      <w:pPr>
        <w:pStyle w:val="ConsPlusNormal"/>
        <w:spacing w:before="0" w:after="0"/>
        <w:ind w:firstLine="709"/>
        <w:contextualSpacing/>
        <w:jc w:val="both"/>
        <w:rPr/>
      </w:pPr>
      <w:r>
        <w:rPr/>
        <w:t>При пересечении проезжей части вне перекрестка лица, использующие для передвижения средства индивидуальной мобильности, обязаны уступить дорогу другим участникам дорожного движения, движущимся по ней (п. 24.6(1) ПДД).</w:t>
      </w:r>
    </w:p>
    <w:p>
      <w:pPr>
        <w:pStyle w:val="ConsPlusNormal"/>
        <w:spacing w:before="0" w:after="0"/>
        <w:ind w:firstLine="709"/>
        <w:contextualSpacing/>
        <w:jc w:val="both"/>
        <w:rPr/>
      </w:pPr>
      <w:r>
        <w:rPr/>
        <w:t xml:space="preserve">В велосипедной зоне лица, использующие для передвижения средства индивидуальной мобильности, могут двигаться по всей ширине проезжей части, предназначенной для движения </w:t>
        <w:br/>
        <w:t>в данном направлении, с соблюдением требований ПДД (п. 24.11 ПДД).</w:t>
      </w:r>
    </w:p>
    <w:p>
      <w:pPr>
        <w:pStyle w:val="ConsPlusNormal"/>
        <w:spacing w:before="0" w:after="0"/>
        <w:ind w:firstLine="709"/>
        <w:contextualSpacing/>
        <w:jc w:val="both"/>
        <w:rPr/>
      </w:pPr>
      <w:r>
        <w:rPr/>
        <w:t>В темное время суток и в условиях недостаточной видимости независимо от освещения дороги, а также в тоннелях на средствах индивидуальной мобильности должны быть включены фары или фонари (п. 19.1 ПДД).</w:t>
      </w:r>
    </w:p>
    <w:p>
      <w:pPr>
        <w:pStyle w:val="ConsPlusNormal"/>
        <w:spacing w:before="0" w:after="0"/>
        <w:ind w:firstLine="709"/>
        <w:contextualSpacing/>
        <w:jc w:val="both"/>
        <w:rPr/>
      </w:pPr>
      <w:r>
        <w:rPr/>
        <w:t xml:space="preserve">Кроме того, при движении в темное время суток или в условиях недостаточной видимости вне населенных пунктов лица, использующие для передвижения средства индивидуальной мобильности, обязаны иметь при себе предметы со световозвращающими элементами </w:t>
        <w:br/>
        <w:t xml:space="preserve">и обеспечивать видимость этих предметов водителями других транспортных средств </w:t>
        <w:br/>
        <w:t>(п. 24.10 ПДД).</w:t>
      </w:r>
    </w:p>
    <w:p>
      <w:pPr>
        <w:pStyle w:val="ConsPlusNormal"/>
        <w:spacing w:before="0" w:after="0"/>
        <w:ind w:firstLine="709"/>
        <w:contextualSpacing/>
        <w:jc w:val="both"/>
        <w:rPr/>
      </w:pPr>
      <w:r>
        <w:rPr/>
        <w:t xml:space="preserve">В случае нарушения ПДД лицо, передвигающееся на электросамокате или другом средстве индивидуальной мобильности, может быть привлечено к соответствующей административной ответственности (ст. ст. 12.29, 12.30 КоАП РФ; п. 1.6 ПДД). </w:t>
      </w:r>
    </w:p>
    <w:p>
      <w:pPr>
        <w:pStyle w:val="ConsPlusNormal"/>
        <w:spacing w:before="0" w:after="0"/>
        <w:ind w:firstLine="709"/>
        <w:contextualSpacing/>
        <w:jc w:val="both"/>
        <w:rPr/>
      </w:pPr>
      <w:r>
        <w:rPr/>
        <w:t xml:space="preserve">При соответствии характеристик средств индивидуальной мобильности, в частности электросамокатов, характеристикам мопедов они могут быть отнесены к мопедам. В указанной ситуации на лицо, передвигающееся на электросамокате, распространяются ПДД, установленные для передвижения на мопедах. В случае нарушения ПДД гражданин может быть привлечен </w:t>
        <w:br/>
        <w:t xml:space="preserve">к соответствующей административной ответственности (Примечание к ст. 12.1 КоАП РФ; </w:t>
        <w:br/>
        <w:t>п. п. 1.2, 1.6 ПДД; п. 1 ст. 25 Закона № 196-ФЗ; п. 2 Постановления Пленума Верховного Суда РФ от 25.06.2019 № 20; Постановление Московского городского суда от 29.11.2019 № 4а-7610/2019).</w:t>
      </w:r>
    </w:p>
    <w:p>
      <w:pPr>
        <w:pStyle w:val="ConsPlusNormal"/>
        <w:spacing w:before="0" w:after="0"/>
        <w:ind w:firstLine="709"/>
        <w:contextualSpacing/>
        <w:jc w:val="both"/>
        <w:rPr/>
      </w:pPr>
      <w:r>
        <w:rPr/>
        <w:t xml:space="preserve">Н.Смирнова, </w:t>
      </w:r>
    </w:p>
    <w:p>
      <w:pPr>
        <w:pStyle w:val="ConsPlusNormal"/>
        <w:spacing w:before="0" w:after="0"/>
        <w:ind w:firstLine="709"/>
        <w:contextualSpacing/>
        <w:jc w:val="both"/>
        <w:rPr/>
      </w:pPr>
      <w:r>
        <w:rPr/>
        <w:t xml:space="preserve">ст.инспектор по пропаганде отдела Госавтоинспекции </w:t>
      </w:r>
    </w:p>
    <w:p>
      <w:pPr>
        <w:pStyle w:val="ConsPlusNormal"/>
        <w:spacing w:before="0" w:after="0"/>
        <w:ind w:firstLine="709"/>
        <w:contextualSpacing/>
        <w:jc w:val="both"/>
        <w:rPr/>
      </w:pPr>
      <w:r>
        <w:rPr/>
        <w:t>МО МВД РФ «Пугачевский» Саратовской области</w:t>
      </w:r>
    </w:p>
    <w:p>
      <w:pPr>
        <w:pStyle w:val="ConsPlusNormal"/>
        <w:spacing w:before="0" w:after="0"/>
        <w:ind w:firstLine="709"/>
        <w:contextualSpacing/>
        <w:rPr/>
      </w:pPr>
      <w:r>
        <w:rPr/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sectPr>
      <w:type w:val="nextPage"/>
      <w:pgSz w:w="11906" w:h="16838"/>
      <w:pgMar w:left="1133" w:right="566" w:header="0" w:top="585" w:footer="0" w:bottom="323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Segoe UI">
    <w:charset w:val="01"/>
    <w:family w:val="roman"/>
    <w:pitch w:val="default"/>
  </w:font>
  <w:font w:name="PT Astra Serif">
    <w:charset w:val="01"/>
    <w:family w:val="roman"/>
    <w:pitch w:val="default"/>
  </w:font>
  <w:font w:name="Times New Roman">
    <w:charset w:val="01"/>
    <w:family w:val="roman"/>
    <w:pitch w:val="default"/>
  </w:font>
  <w:font w:name="Symbol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227"/>
      </w:pPr>
      <w:rPr>
        <w:rFonts w:ascii="Symbol" w:hAnsi="Symbol" w:cs="Symbol" w:hint="default"/>
      </w:r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227"/>
      </w:pPr>
      <w:rPr>
        <w:rFonts w:ascii="Symbol" w:hAnsi="Symbol" w:cs="Symbol" w:hint="default"/>
      </w:r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a51b05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Calibri" w:asciiTheme="minorHAnsi" w:eastAsiaTheme="minorHAnsi" w:hAnsiTheme="minorHAnsi"/>
      <w:color w:val="auto"/>
      <w:kern w:val="0"/>
      <w:sz w:val="20"/>
      <w:szCs w:val="20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4"/>
    <w:uiPriority w:val="99"/>
    <w:semiHidden/>
    <w:qFormat/>
    <w:rsid w:val="00735f4a"/>
    <w:rPr>
      <w:rFonts w:ascii="Segoe UI" w:hAnsi="Segoe UI" w:eastAsia="Calibri" w:cs="Segoe UI"/>
      <w:sz w:val="18"/>
      <w:szCs w:val="18"/>
      <w:lang w:eastAsia="ru-RU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ascii="PT Astra Serif" w:hAnsi="PT Astra Serif" w:cs="Noto Sans Devanagari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ListParagraph">
    <w:name w:val="List Paragraph"/>
    <w:basedOn w:val="Normal"/>
    <w:uiPriority w:val="34"/>
    <w:qFormat/>
    <w:rsid w:val="001e73e7"/>
    <w:pPr>
      <w:spacing w:before="0" w:after="0"/>
      <w:ind w:left="720" w:hanging="0"/>
      <w:contextualSpacing/>
    </w:pPr>
    <w:rPr/>
  </w:style>
  <w:style w:type="paragraph" w:styleId="BalloonText">
    <w:name w:val="Balloon Text"/>
    <w:basedOn w:val="Normal"/>
    <w:link w:val="a5"/>
    <w:uiPriority w:val="99"/>
    <w:semiHidden/>
    <w:unhideWhenUsed/>
    <w:qFormat/>
    <w:rsid w:val="00735f4a"/>
    <w:pPr/>
    <w:rPr>
      <w:rFonts w:ascii="Segoe UI" w:hAnsi="Segoe UI" w:cs="Segoe UI"/>
      <w:sz w:val="18"/>
      <w:szCs w:val="18"/>
    </w:rPr>
  </w:style>
  <w:style w:type="paragraph" w:styleId="ConsPlusNormal" w:customStyle="1">
    <w:name w:val="ConsPlusNormal"/>
    <w:qFormat/>
    <w:rsid w:val="00c017f0"/>
    <w:pPr>
      <w:widowControl w:val="false"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ru-RU" w:bidi="ar-SA"/>
    </w:rPr>
  </w:style>
  <w:style w:type="paragraph" w:styleId="Style20">
    <w:name w:val="Верхний и нижний колонтитулы"/>
    <w:basedOn w:val="Normal"/>
    <w:qFormat/>
    <w:pPr>
      <w:suppressLineNumbers/>
      <w:tabs>
        <w:tab w:val="clear" w:pos="708"/>
        <w:tab w:val="center" w:pos="5103" w:leader="none"/>
        <w:tab w:val="right" w:pos="10207" w:leader="none"/>
      </w:tabs>
    </w:pPr>
    <w:rPr/>
  </w:style>
  <w:style w:type="paragraph" w:styleId="Style21">
    <w:name w:val="Header"/>
    <w:basedOn w:val="Style20"/>
    <w:pPr>
      <w:suppressLineNumbers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598</TotalTime>
  <Application>LibreOffice/6.4.7.2$Linux_X86_64 LibreOffice_project/72d9d5113b23a0ed474720f9d366fcde9a2744dd</Application>
  <Pages>3</Pages>
  <Words>815</Words>
  <Characters>5562</Characters>
  <CharactersWithSpaces>6356</CharactersWithSpaces>
  <Paragraphs>31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2022-12-26T08:01:00Z</dcterms:created>
  <dc:creator>PROPAGANDA</dc:creator>
  <dc:description/>
  <dc:language>ru-RU</dc:language>
  <cp:lastModifiedBy/>
  <cp:lastPrinted>2023-03-13T08:34:00Z</cp:lastPrinted>
  <dcterms:modified xsi:type="dcterms:W3CDTF">2023-04-21T16:19:42Z</dcterms:modified>
  <cp:revision>19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